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6" w:rsidRPr="00270046" w:rsidRDefault="00270046" w:rsidP="00270046">
      <w:pPr>
        <w:shd w:val="clear" w:color="auto" w:fill="FFFFFF"/>
        <w:spacing w:after="0"/>
        <w:jc w:val="center"/>
        <w:outlineLvl w:val="2"/>
        <w:rPr>
          <w:rFonts w:eastAsia="Times New Roman"/>
          <w:b/>
          <w:sz w:val="22"/>
          <w:szCs w:val="22"/>
          <w:lang w:eastAsia="hu-HU"/>
        </w:rPr>
      </w:pPr>
      <w:bookmarkStart w:id="0" w:name="_GoBack"/>
      <w:bookmarkEnd w:id="0"/>
      <w:r w:rsidRPr="00270046">
        <w:rPr>
          <w:rFonts w:eastAsia="Times New Roman"/>
          <w:b/>
          <w:sz w:val="22"/>
          <w:szCs w:val="22"/>
          <w:lang w:eastAsia="hu-HU"/>
        </w:rPr>
        <w:t>Veszélyhelyzeti bértámogatás kutatásfejlesztési munkahelymegőrzés céljából</w:t>
      </w:r>
    </w:p>
    <w:p w:rsidR="00270046" w:rsidRDefault="00270046" w:rsidP="00270046">
      <w:pPr>
        <w:shd w:val="clear" w:color="auto" w:fill="FFFFFF"/>
        <w:spacing w:before="0" w:after="0" w:line="276" w:lineRule="auto"/>
        <w:jc w:val="center"/>
        <w:outlineLvl w:val="2"/>
        <w:rPr>
          <w:rFonts w:eastAsia="Times New Roman"/>
          <w:b/>
          <w:sz w:val="22"/>
          <w:szCs w:val="22"/>
          <w:lang w:eastAsia="hu-HU"/>
        </w:rPr>
      </w:pPr>
      <w:r w:rsidRPr="00270046">
        <w:rPr>
          <w:rFonts w:eastAsia="Times New Roman"/>
          <w:b/>
          <w:sz w:val="22"/>
          <w:szCs w:val="22"/>
          <w:lang w:eastAsia="hu-HU"/>
        </w:rPr>
        <w:t>(GINO</w:t>
      </w:r>
      <w:r>
        <w:rPr>
          <w:rFonts w:eastAsia="Times New Roman"/>
          <w:b/>
          <w:sz w:val="22"/>
          <w:szCs w:val="22"/>
          <w:lang w:eastAsia="hu-HU"/>
        </w:rPr>
        <w:t>P</w:t>
      </w:r>
      <w:r w:rsidRPr="00270046">
        <w:rPr>
          <w:rFonts w:eastAsia="Times New Roman"/>
          <w:b/>
          <w:sz w:val="22"/>
          <w:szCs w:val="22"/>
          <w:lang w:eastAsia="hu-HU"/>
        </w:rPr>
        <w:t>-5.3.16-VEKOP-20-2020-00001)</w:t>
      </w:r>
    </w:p>
    <w:p w:rsidR="00270046" w:rsidRPr="00270046" w:rsidRDefault="00270046" w:rsidP="00270046">
      <w:pPr>
        <w:shd w:val="clear" w:color="auto" w:fill="FFFFFF"/>
        <w:spacing w:before="0" w:after="0" w:line="276" w:lineRule="auto"/>
        <w:jc w:val="center"/>
        <w:outlineLvl w:val="2"/>
        <w:rPr>
          <w:rFonts w:eastAsia="Times New Roman"/>
          <w:b/>
          <w:sz w:val="22"/>
          <w:szCs w:val="22"/>
          <w:lang w:eastAsia="hu-HU"/>
        </w:rPr>
      </w:pP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iCs/>
          <w:sz w:val="20"/>
          <w:szCs w:val="20"/>
          <w:lang w:eastAsia="hu-HU"/>
        </w:rPr>
      </w:pPr>
      <w:r w:rsidRPr="00660D4C">
        <w:rPr>
          <w:rFonts w:eastAsia="Times New Roman"/>
          <w:iCs/>
          <w:sz w:val="20"/>
          <w:szCs w:val="20"/>
          <w:lang w:eastAsia="hu-HU"/>
        </w:rPr>
        <w:t xml:space="preserve">A 2020-ban és 2021-ben meghirdetett bértámogatási program megvalósítására a </w:t>
      </w:r>
      <w:r w:rsidRPr="00660D4C">
        <w:rPr>
          <w:rFonts w:eastAsia="Times New Roman"/>
          <w:b/>
          <w:iCs/>
          <w:sz w:val="20"/>
          <w:szCs w:val="20"/>
          <w:lang w:eastAsia="hu-HU"/>
        </w:rPr>
        <w:t>GINOP-5.3.16-VEKOP-20-2020-00001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számú </w:t>
      </w:r>
      <w:r w:rsidRPr="00660D4C">
        <w:rPr>
          <w:rFonts w:eastAsia="Times New Roman"/>
          <w:b/>
          <w:iCs/>
          <w:sz w:val="20"/>
          <w:szCs w:val="20"/>
          <w:lang w:eastAsia="hu-HU"/>
        </w:rPr>
        <w:t>"Veszélyhelyzeti bértámogatás kutatásfejlesztési munkahelymegőrzés céljából"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című kiemelt projekt keretében, uniós társfinanszírozással került sor. A projekt támogatási összege 28,803 Mrd Ft, a támogatási intenzitás 100%. A kiemelt projekt megvalósítására </w:t>
      </w:r>
      <w:r>
        <w:rPr>
          <w:rFonts w:eastAsia="Times New Roman"/>
          <w:iCs/>
          <w:sz w:val="20"/>
          <w:szCs w:val="20"/>
          <w:lang w:eastAsia="hu-HU"/>
        </w:rPr>
        <w:t>2020. április 15.-2022. szeptember 15</w:t>
      </w:r>
      <w:r w:rsidRPr="00660D4C">
        <w:rPr>
          <w:rFonts w:eastAsia="Times New Roman"/>
          <w:iCs/>
          <w:sz w:val="20"/>
          <w:szCs w:val="20"/>
          <w:lang w:eastAsia="hu-HU"/>
        </w:rPr>
        <w:t>. között kerül</w:t>
      </w:r>
      <w:r>
        <w:rPr>
          <w:rFonts w:eastAsia="Times New Roman"/>
          <w:iCs/>
          <w:sz w:val="20"/>
          <w:szCs w:val="20"/>
          <w:lang w:eastAsia="hu-HU"/>
        </w:rPr>
        <w:t>t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sor. A kiemelt projektet a</w:t>
      </w:r>
      <w:r w:rsidR="00E122E3">
        <w:rPr>
          <w:rFonts w:eastAsia="Times New Roman"/>
          <w:iCs/>
          <w:sz w:val="20"/>
          <w:szCs w:val="20"/>
          <w:lang w:eastAsia="hu-HU"/>
        </w:rPr>
        <w:t>z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Innovációs és Technológiai Minisztérium és a fővárosi és megyei kormán</w:t>
      </w:r>
      <w:r>
        <w:rPr>
          <w:rFonts w:eastAsia="Times New Roman"/>
          <w:iCs/>
          <w:sz w:val="20"/>
          <w:szCs w:val="20"/>
          <w:lang w:eastAsia="hu-HU"/>
        </w:rPr>
        <w:t>yhivatalok konzorciuma valósította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meg.</w:t>
      </w: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bCs/>
          <w:sz w:val="20"/>
          <w:szCs w:val="20"/>
          <w:lang w:eastAsia="hu-HU"/>
        </w:rPr>
      </w:pPr>
      <w:r w:rsidRPr="00660D4C">
        <w:rPr>
          <w:rFonts w:eastAsia="Times New Roman"/>
          <w:bCs/>
          <w:sz w:val="20"/>
          <w:szCs w:val="20"/>
          <w:lang w:eastAsia="hu-HU"/>
        </w:rPr>
        <w:t>Munkahelyek megőrzése, illetve új munkahelyek létrehozása érdekébe</w:t>
      </w:r>
      <w:r>
        <w:rPr>
          <w:rFonts w:eastAsia="Times New Roman"/>
          <w:bCs/>
          <w:sz w:val="20"/>
          <w:szCs w:val="20"/>
          <w:lang w:eastAsia="hu-HU"/>
        </w:rPr>
        <w:t>n bértámogatásban részesülhettek</w:t>
      </w:r>
      <w:r w:rsidRPr="00660D4C">
        <w:rPr>
          <w:rFonts w:eastAsia="Times New Roman"/>
          <w:bCs/>
          <w:sz w:val="20"/>
          <w:szCs w:val="20"/>
          <w:lang w:eastAsia="hu-HU"/>
        </w:rPr>
        <w:t xml:space="preserve"> a kutatási, fejlesztési és innovációs (KFI) szektor magasan képzett szakembereit foglalkoztató, illetve foglalkoztatni kívánó munkáltatói a járványhelyzet miatt, legfeljebb három hónapos időtartamban.</w:t>
      </w: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 w:rsidRPr="00660D4C">
        <w:rPr>
          <w:rFonts w:eastAsia="Times New Roman"/>
          <w:sz w:val="20"/>
          <w:szCs w:val="20"/>
          <w:lang w:eastAsia="hu-HU"/>
        </w:rPr>
        <w:t>A kormány a koronavírus járvány miatt létrehozott gazdaságvédelmi akciótervének egyik fontos eleme a KFI szektor magasan képzett szakemberei foglalkoztatásának támogatása</w:t>
      </w:r>
      <w:r>
        <w:rPr>
          <w:rFonts w:eastAsia="Times New Roman"/>
          <w:sz w:val="20"/>
          <w:szCs w:val="20"/>
          <w:lang w:eastAsia="hu-HU"/>
        </w:rPr>
        <w:t xml:space="preserve"> volt</w:t>
      </w:r>
      <w:r w:rsidRPr="00660D4C">
        <w:rPr>
          <w:rFonts w:eastAsia="Times New Roman"/>
          <w:sz w:val="20"/>
          <w:szCs w:val="20"/>
          <w:lang w:eastAsia="hu-HU"/>
        </w:rPr>
        <w:t xml:space="preserve">, hiszen ez elengedhetetlen </w:t>
      </w:r>
      <w:r>
        <w:rPr>
          <w:rFonts w:eastAsia="Times New Roman"/>
          <w:sz w:val="20"/>
          <w:szCs w:val="20"/>
          <w:lang w:eastAsia="hu-HU"/>
        </w:rPr>
        <w:t>volt a gazdaság újraindításához. A</w:t>
      </w:r>
      <w:r w:rsidRPr="00660D4C">
        <w:rPr>
          <w:rFonts w:eastAsia="Times New Roman"/>
          <w:sz w:val="20"/>
          <w:szCs w:val="20"/>
          <w:lang w:eastAsia="hu-HU"/>
        </w:rPr>
        <w:t xml:space="preserve"> </w:t>
      </w:r>
      <w:r>
        <w:rPr>
          <w:rFonts w:eastAsia="Times New Roman"/>
          <w:sz w:val="20"/>
          <w:szCs w:val="20"/>
          <w:lang w:eastAsia="hu-HU"/>
        </w:rPr>
        <w:t>támogatás</w:t>
      </w:r>
      <w:r w:rsidRPr="00660D4C">
        <w:rPr>
          <w:rFonts w:eastAsia="Times New Roman"/>
          <w:sz w:val="20"/>
          <w:szCs w:val="20"/>
          <w:lang w:eastAsia="hu-HU"/>
        </w:rPr>
        <w:t>t ezért többek között mérnökök, kutatók, informatikusok, magasan ké</w:t>
      </w:r>
      <w:r>
        <w:rPr>
          <w:rFonts w:eastAsia="Times New Roman"/>
          <w:sz w:val="20"/>
          <w:szCs w:val="20"/>
          <w:lang w:eastAsia="hu-HU"/>
        </w:rPr>
        <w:t>pzett szakemberek után kaphatták</w:t>
      </w:r>
      <w:r w:rsidRPr="00660D4C">
        <w:rPr>
          <w:rFonts w:eastAsia="Times New Roman"/>
          <w:sz w:val="20"/>
          <w:szCs w:val="20"/>
          <w:lang w:eastAsia="hu-HU"/>
        </w:rPr>
        <w:t xml:space="preserve"> a munkáltatók. A támogatás kiterjed</w:t>
      </w:r>
      <w:r>
        <w:rPr>
          <w:rFonts w:eastAsia="Times New Roman"/>
          <w:sz w:val="20"/>
          <w:szCs w:val="20"/>
          <w:lang w:eastAsia="hu-HU"/>
        </w:rPr>
        <w:t>t</w:t>
      </w:r>
      <w:r w:rsidRPr="00660D4C">
        <w:rPr>
          <w:rFonts w:eastAsia="Times New Roman"/>
          <w:sz w:val="20"/>
          <w:szCs w:val="20"/>
          <w:lang w:eastAsia="hu-HU"/>
        </w:rPr>
        <w:t xml:space="preserve"> mindazon nem költségvetési szerv munkáltatókra, ahol kutatást, fejlesztést végez</w:t>
      </w:r>
      <w:r>
        <w:rPr>
          <w:rFonts w:eastAsia="Times New Roman"/>
          <w:sz w:val="20"/>
          <w:szCs w:val="20"/>
          <w:lang w:eastAsia="hu-HU"/>
        </w:rPr>
        <w:t>t</w:t>
      </w:r>
      <w:r w:rsidRPr="00660D4C">
        <w:rPr>
          <w:rFonts w:eastAsia="Times New Roman"/>
          <w:sz w:val="20"/>
          <w:szCs w:val="20"/>
          <w:lang w:eastAsia="hu-HU"/>
        </w:rPr>
        <w:t>ek. A program így minden ágazatot érint</w:t>
      </w:r>
      <w:r>
        <w:rPr>
          <w:rFonts w:eastAsia="Times New Roman"/>
          <w:sz w:val="20"/>
          <w:szCs w:val="20"/>
          <w:lang w:eastAsia="hu-HU"/>
        </w:rPr>
        <w:t>ett</w:t>
      </w:r>
      <w:r w:rsidRPr="00660D4C">
        <w:rPr>
          <w:rFonts w:eastAsia="Times New Roman"/>
          <w:sz w:val="20"/>
          <w:szCs w:val="20"/>
          <w:lang w:eastAsia="hu-HU"/>
        </w:rPr>
        <w:t>, hiszen minden gazdasági szektorban van kutatással (is) foglalkozó vállalkozás, ezért a teljes</w:t>
      </w:r>
      <w:r>
        <w:rPr>
          <w:rFonts w:eastAsia="Times New Roman"/>
          <w:sz w:val="20"/>
          <w:szCs w:val="20"/>
          <w:lang w:eastAsia="hu-HU"/>
        </w:rPr>
        <w:t xml:space="preserve"> nemzetgazdaság számára segítség volt</w:t>
      </w:r>
      <w:r w:rsidRPr="00660D4C">
        <w:rPr>
          <w:rFonts w:eastAsia="Times New Roman"/>
          <w:sz w:val="20"/>
          <w:szCs w:val="20"/>
          <w:lang w:eastAsia="hu-HU"/>
        </w:rPr>
        <w:t xml:space="preserve"> a támogatáshoz történő hozzáférés.</w:t>
      </w: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 támogatás két ütemben valósult meg:</w:t>
      </w: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 w:rsidRPr="00270046">
        <w:rPr>
          <w:rFonts w:eastAsia="Times New Roman"/>
          <w:b/>
          <w:sz w:val="20"/>
          <w:szCs w:val="20"/>
          <w:lang w:eastAsia="hu-HU"/>
        </w:rPr>
        <w:t>I. ütem:</w:t>
      </w:r>
      <w:r>
        <w:rPr>
          <w:rFonts w:eastAsia="Times New Roman"/>
          <w:sz w:val="20"/>
          <w:szCs w:val="20"/>
          <w:lang w:eastAsia="hu-HU"/>
        </w:rPr>
        <w:t xml:space="preserve"> 2020.04.15</w:t>
      </w:r>
      <w:r w:rsidR="00E122E3">
        <w:rPr>
          <w:rFonts w:eastAsia="Times New Roman"/>
          <w:sz w:val="20"/>
          <w:szCs w:val="20"/>
          <w:lang w:eastAsia="hu-HU"/>
        </w:rPr>
        <w:t>.</w:t>
      </w:r>
      <w:r>
        <w:rPr>
          <w:rFonts w:eastAsia="Times New Roman"/>
          <w:sz w:val="20"/>
          <w:szCs w:val="20"/>
          <w:lang w:eastAsia="hu-HU"/>
        </w:rPr>
        <w:t>-2020.08.31. A támogatás célja</w:t>
      </w:r>
      <w:r w:rsidRPr="00660D4C">
        <w:rPr>
          <w:rFonts w:eastAsia="Times New Roman"/>
          <w:sz w:val="20"/>
          <w:szCs w:val="20"/>
          <w:lang w:eastAsia="hu-HU"/>
        </w:rPr>
        <w:t xml:space="preserve"> a </w:t>
      </w:r>
      <w:r>
        <w:rPr>
          <w:rFonts w:eastAsia="Times New Roman"/>
          <w:sz w:val="20"/>
          <w:szCs w:val="20"/>
          <w:lang w:eastAsia="hu-HU"/>
        </w:rPr>
        <w:t xml:space="preserve">KFI </w:t>
      </w:r>
      <w:r w:rsidRPr="00660D4C">
        <w:rPr>
          <w:rFonts w:eastAsia="Times New Roman"/>
          <w:sz w:val="20"/>
          <w:szCs w:val="20"/>
          <w:lang w:eastAsia="hu-HU"/>
        </w:rPr>
        <w:t>szektorban do</w:t>
      </w:r>
      <w:r>
        <w:rPr>
          <w:rFonts w:eastAsia="Times New Roman"/>
          <w:sz w:val="20"/>
          <w:szCs w:val="20"/>
          <w:lang w:eastAsia="hu-HU"/>
        </w:rPr>
        <w:t>lgozó munkavállaló</w:t>
      </w:r>
      <w:r w:rsidR="00E122E3">
        <w:rPr>
          <w:rFonts w:eastAsia="Times New Roman"/>
          <w:sz w:val="20"/>
          <w:szCs w:val="20"/>
          <w:lang w:eastAsia="hu-HU"/>
        </w:rPr>
        <w:t>k</w:t>
      </w:r>
      <w:r>
        <w:rPr>
          <w:rFonts w:eastAsia="Times New Roman"/>
          <w:sz w:val="20"/>
          <w:szCs w:val="20"/>
          <w:lang w:eastAsia="hu-HU"/>
        </w:rPr>
        <w:t xml:space="preserve"> munkahelyének védelme, a támogatással a szektorban dolgozók</w:t>
      </w:r>
      <w:r w:rsidRPr="00660D4C">
        <w:rPr>
          <w:rFonts w:eastAsia="Times New Roman"/>
          <w:sz w:val="20"/>
          <w:szCs w:val="20"/>
          <w:lang w:eastAsia="hu-HU"/>
        </w:rPr>
        <w:t xml:space="preserve"> tartós foglalkoztatása, a munkabérek fenntartása és az elbocsátások elkerülése</w:t>
      </w:r>
      <w:r>
        <w:rPr>
          <w:rFonts w:eastAsia="Times New Roman"/>
          <w:sz w:val="20"/>
          <w:szCs w:val="20"/>
          <w:lang w:eastAsia="hu-HU"/>
        </w:rPr>
        <w:t>.</w:t>
      </w: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 w:rsidRPr="00270046">
        <w:rPr>
          <w:rFonts w:eastAsia="Times New Roman"/>
          <w:b/>
          <w:sz w:val="20"/>
          <w:szCs w:val="20"/>
          <w:lang w:eastAsia="hu-HU"/>
        </w:rPr>
        <w:t>II. ütem:</w:t>
      </w:r>
      <w:r>
        <w:rPr>
          <w:rFonts w:eastAsia="Times New Roman"/>
          <w:sz w:val="20"/>
          <w:szCs w:val="20"/>
          <w:lang w:eastAsia="hu-HU"/>
        </w:rPr>
        <w:t xml:space="preserve"> 2021.01.04</w:t>
      </w:r>
      <w:r w:rsidR="00E122E3">
        <w:rPr>
          <w:rFonts w:eastAsia="Times New Roman"/>
          <w:sz w:val="20"/>
          <w:szCs w:val="20"/>
          <w:lang w:eastAsia="hu-HU"/>
        </w:rPr>
        <w:t>.</w:t>
      </w:r>
      <w:r>
        <w:rPr>
          <w:rFonts w:eastAsia="Times New Roman"/>
          <w:sz w:val="20"/>
          <w:szCs w:val="20"/>
          <w:lang w:eastAsia="hu-HU"/>
        </w:rPr>
        <w:t>-2021.05.31. A 2021. évben újraindított támogatás a munkahelyek megőrzése mellett új munkahelyek létrehozása érdekében is bértámogatásban részesítette a KFI szektor magasan képzett szakembereit foglalkoztató, illetve foglalkoztatni kívánó munkáltatót.</w:t>
      </w:r>
    </w:p>
    <w:p w:rsidR="00270046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 w:rsidRPr="00660D4C">
        <w:rPr>
          <w:rFonts w:eastAsia="Times New Roman"/>
          <w:sz w:val="20"/>
          <w:szCs w:val="20"/>
          <w:lang w:eastAsia="hu-HU"/>
        </w:rPr>
        <w:t>A</w:t>
      </w:r>
      <w:r>
        <w:rPr>
          <w:rFonts w:eastAsia="Times New Roman"/>
          <w:sz w:val="20"/>
          <w:szCs w:val="20"/>
          <w:lang w:eastAsia="hu-HU"/>
        </w:rPr>
        <w:t xml:space="preserve"> támogatás összege nem haladhatt</w:t>
      </w:r>
      <w:r w:rsidRPr="00660D4C">
        <w:rPr>
          <w:rFonts w:eastAsia="Times New Roman"/>
          <w:sz w:val="20"/>
          <w:szCs w:val="20"/>
          <w:lang w:eastAsia="hu-HU"/>
        </w:rPr>
        <w:t>a meg a havi 318.920 forintot munkavállalónként. Az így megítélt össz</w:t>
      </w:r>
      <w:r>
        <w:rPr>
          <w:rFonts w:eastAsia="Times New Roman"/>
          <w:sz w:val="20"/>
          <w:szCs w:val="20"/>
          <w:lang w:eastAsia="hu-HU"/>
        </w:rPr>
        <w:t>eget a munkáltató kapt</w:t>
      </w:r>
      <w:r w:rsidRPr="00660D4C">
        <w:rPr>
          <w:rFonts w:eastAsia="Times New Roman"/>
          <w:sz w:val="20"/>
          <w:szCs w:val="20"/>
          <w:lang w:eastAsia="hu-HU"/>
        </w:rPr>
        <w:t>a, és a támogatás fejében garantálnia kell</w:t>
      </w:r>
      <w:r>
        <w:rPr>
          <w:rFonts w:eastAsia="Times New Roman"/>
          <w:sz w:val="20"/>
          <w:szCs w:val="20"/>
          <w:lang w:eastAsia="hu-HU"/>
        </w:rPr>
        <w:t>ett</w:t>
      </w:r>
      <w:r w:rsidRPr="00660D4C">
        <w:rPr>
          <w:rFonts w:eastAsia="Times New Roman"/>
          <w:sz w:val="20"/>
          <w:szCs w:val="20"/>
          <w:lang w:eastAsia="hu-HU"/>
        </w:rPr>
        <w:t xml:space="preserve"> a munkavállalónak legalább a támogatási idővel megegyező továbbfoglalkoztatását. A támogatás, illetve a továbbfoglalkoztatás időtartama alatt a munkáltató a munkavállaló munkabérét nem csökke</w:t>
      </w:r>
      <w:r>
        <w:rPr>
          <w:rFonts w:eastAsia="Times New Roman"/>
          <w:sz w:val="20"/>
          <w:szCs w:val="20"/>
          <w:lang w:eastAsia="hu-HU"/>
        </w:rPr>
        <w:t>nthette</w:t>
      </w:r>
      <w:r w:rsidRPr="00660D4C">
        <w:rPr>
          <w:rFonts w:eastAsia="Times New Roman"/>
          <w:sz w:val="20"/>
          <w:szCs w:val="20"/>
          <w:lang w:eastAsia="hu-HU"/>
        </w:rPr>
        <w:t xml:space="preserve">. A kérelmet a munkáltató a székhelye vagy telephelye szerint illetékes megyei (fővárosi) kormányhivatal foglalkoztatási főosztályához </w:t>
      </w:r>
      <w:r>
        <w:rPr>
          <w:rFonts w:eastAsia="Times New Roman"/>
          <w:sz w:val="20"/>
          <w:szCs w:val="20"/>
          <w:lang w:eastAsia="hu-HU"/>
        </w:rPr>
        <w:t>nyújthatta be.</w:t>
      </w:r>
    </w:p>
    <w:p w:rsidR="00BC5406" w:rsidRDefault="00BC540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Budapest Főváros Kormányhivatala pénzügyi kerete: 17.316.545.392 Ft</w:t>
      </w:r>
    </w:p>
    <w:p w:rsidR="00524D99" w:rsidRDefault="00270046" w:rsidP="00524D99">
      <w:pPr>
        <w:shd w:val="clear" w:color="auto" w:fill="FFFFFF"/>
        <w:spacing w:before="0" w:after="120" w:line="276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Budapest Főváros Kormányhivatala </w:t>
      </w:r>
      <w:proofErr w:type="gramStart"/>
      <w:r>
        <w:rPr>
          <w:rFonts w:eastAsia="Times New Roman"/>
          <w:sz w:val="20"/>
          <w:szCs w:val="20"/>
          <w:lang w:eastAsia="hu-HU"/>
        </w:rPr>
        <w:t>részprojektjében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az első ütemben összesen 509 munkáltató, 12 432 fő munkavállalója után, a második ütemben összesen 534 munkáltató, 8 955 munkavállalója után részesült támogatásban.</w:t>
      </w:r>
    </w:p>
    <w:p w:rsidR="00765A4E" w:rsidRPr="00270046" w:rsidRDefault="00524D99" w:rsidP="00524D99">
      <w:pPr>
        <w:shd w:val="clear" w:color="auto" w:fill="FFFFFF"/>
        <w:spacing w:before="0" w:after="0" w:line="276" w:lineRule="auto"/>
        <w:jc w:val="both"/>
        <w:rPr>
          <w:rFonts w:eastAsia="Times New Roman"/>
          <w:i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(</w:t>
      </w:r>
      <w:r w:rsidR="00270046" w:rsidRPr="00F94C84">
        <w:rPr>
          <w:rFonts w:eastAsia="Times New Roman"/>
          <w:i/>
          <w:sz w:val="20"/>
          <w:szCs w:val="20"/>
          <w:lang w:eastAsia="hu-HU"/>
        </w:rPr>
        <w:t>BFKH)</w:t>
      </w:r>
    </w:p>
    <w:sectPr w:rsidR="00765A4E" w:rsidRPr="00270046" w:rsidSect="00FA7B9C">
      <w:head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05" w:rsidRDefault="00EA5505" w:rsidP="00064764">
      <w:pPr>
        <w:spacing w:before="0" w:after="0"/>
      </w:pPr>
      <w:r>
        <w:separator/>
      </w:r>
    </w:p>
  </w:endnote>
  <w:endnote w:type="continuationSeparator" w:id="0">
    <w:p w:rsidR="00EA5505" w:rsidRDefault="00EA5505" w:rsidP="000647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56" w:rsidRDefault="00FA6956" w:rsidP="00064764">
    <w:pPr>
      <w:rPr>
        <w:noProof/>
        <w:color w:val="000000"/>
        <w:spacing w:val="2"/>
        <w:sz w:val="16"/>
        <w:szCs w:val="16"/>
      </w:rPr>
    </w:pPr>
    <w:r>
      <w:rPr>
        <w:noProof/>
        <w:color w:val="000000"/>
        <w:spacing w:val="2"/>
        <w:sz w:val="16"/>
        <w:szCs w:val="16"/>
        <w:lang w:eastAsia="hu-HU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66674</wp:posOffset>
              </wp:positionV>
              <wp:extent cx="3676650" cy="0"/>
              <wp:effectExtent l="0" t="0" r="19050" b="190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76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-.35pt;margin-top:5.25pt;width:289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" strokecolor="#4f81bd [3204]" strokeweight="1.5pt"/>
          </w:pict>
        </mc:Fallback>
      </mc:AlternateConten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  <w:lang w:eastAsia="hu-HU"/>
      </w:rPr>
      <w:drawing>
        <wp:anchor distT="0" distB="0" distL="114300" distR="114300" simplePos="0" relativeHeight="251660288" behindDoc="1" locked="0" layoutInCell="1" allowOverlap="1" wp14:anchorId="5CD33274" wp14:editId="2D436AC7">
          <wp:simplePos x="0" y="0"/>
          <wp:positionH relativeFrom="page">
            <wp:posOffset>4579620</wp:posOffset>
          </wp:positionH>
          <wp:positionV relativeFrom="page">
            <wp:posOffset>8748395</wp:posOffset>
          </wp:positionV>
          <wp:extent cx="2965450" cy="2048510"/>
          <wp:effectExtent l="0" t="0" r="6350" b="0"/>
          <wp:wrapTight wrapText="bothSides">
            <wp:wrapPolygon edited="0">
              <wp:start x="14986" y="1406"/>
              <wp:lineTo x="13043" y="1607"/>
              <wp:lineTo x="8048" y="3816"/>
              <wp:lineTo x="8048" y="4620"/>
              <wp:lineTo x="5412" y="7834"/>
              <wp:lineTo x="3608" y="11048"/>
              <wp:lineTo x="2498" y="14262"/>
              <wp:lineTo x="1804" y="17476"/>
              <wp:lineTo x="1526" y="21493"/>
              <wp:lineTo x="21646" y="21493"/>
              <wp:lineTo x="21646" y="3013"/>
              <wp:lineTo x="19426" y="1607"/>
              <wp:lineTo x="16651" y="1406"/>
              <wp:lineTo x="14986" y="1406"/>
            </wp:wrapPolygon>
          </wp:wrapTight>
          <wp:docPr id="5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204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29E0">
      <w:rPr>
        <w:noProof/>
        <w:color w:val="000000"/>
        <w:spacing w:val="2"/>
        <w:sz w:val="16"/>
        <w:szCs w:val="16"/>
      </w:rPr>
      <w:t xml:space="preserve">1082 Budapest, Kisfaludy u. 11. – 1364 Bp. Pf. 244. </w: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>Telefon: +36 (1) 477-5700 - Fax: +36 (1) 477-5800</w: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>KÉR azon.:</w:t>
    </w:r>
    <w:r w:rsidRPr="00D429E0">
      <w:t xml:space="preserve"> </w:t>
    </w:r>
    <w:r w:rsidR="00D57A12">
      <w:rPr>
        <w:noProof/>
        <w:color w:val="000000"/>
        <w:spacing w:val="2"/>
        <w:sz w:val="16"/>
        <w:szCs w:val="16"/>
      </w:rPr>
      <w:t>KHIV BUK FGF</w:t>
    </w:r>
    <w:r w:rsidRPr="00D429E0">
      <w:rPr>
        <w:noProof/>
        <w:color w:val="000000"/>
        <w:spacing w:val="2"/>
        <w:sz w:val="16"/>
        <w:szCs w:val="16"/>
      </w:rPr>
      <w:t xml:space="preserve"> / Webes HKP.: 420609781</w: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 xml:space="preserve">E-mail: </w:t>
    </w:r>
    <w:r w:rsidRPr="00D429E0">
      <w:rPr>
        <w:rStyle w:val="Hiperhivatkozs"/>
        <w:noProof/>
        <w:spacing w:val="2"/>
        <w:sz w:val="16"/>
        <w:szCs w:val="16"/>
      </w:rPr>
      <w:t>foglalkoztatas.fovaros@ffo.bfkh.gov.hu</w:t>
    </w:r>
    <w:r w:rsidRPr="00D429E0">
      <w:rPr>
        <w:noProof/>
        <w:color w:val="000000"/>
        <w:spacing w:val="2"/>
        <w:sz w:val="16"/>
        <w:szCs w:val="16"/>
      </w:rPr>
      <w:t xml:space="preserve"> </w:t>
    </w:r>
  </w:p>
  <w:p w:rsidR="00601F88" w:rsidRPr="00064764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 xml:space="preserve">Honlap: </w:t>
    </w:r>
    <w:hyperlink r:id="rId2" w:history="1">
      <w:r w:rsidRPr="00D429E0">
        <w:rPr>
          <w:rStyle w:val="Hiperhivatkozs"/>
          <w:noProof/>
          <w:spacing w:val="2"/>
          <w:sz w:val="16"/>
          <w:szCs w:val="16"/>
        </w:rPr>
        <w:t>http://fovaros.munka.hu</w:t>
      </w:r>
    </w:hyperlink>
    <w:r w:rsidRPr="00D429E0">
      <w:rPr>
        <w:noProof/>
        <w:color w:val="000000"/>
        <w:spacing w:val="2"/>
        <w:sz w:val="16"/>
        <w:szCs w:val="16"/>
      </w:rPr>
      <w:t xml:space="preserve">; </w:t>
    </w:r>
    <w:hyperlink r:id="rId3" w:history="1">
      <w:r w:rsidRPr="00D429E0">
        <w:rPr>
          <w:rStyle w:val="Hiperhivatkozs"/>
          <w:noProof/>
          <w:spacing w:val="2"/>
          <w:sz w:val="16"/>
          <w:szCs w:val="16"/>
        </w:rPr>
        <w:t>http://www.kormanyhivatal.hu</w:t>
      </w:r>
    </w:hyperlink>
    <w:r w:rsidRPr="00D429E0">
      <w:rPr>
        <w:noProof/>
        <w:color w:val="000000"/>
        <w:spacing w:val="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05" w:rsidRDefault="00EA5505" w:rsidP="00064764">
      <w:pPr>
        <w:spacing w:before="0" w:after="0"/>
      </w:pPr>
      <w:r>
        <w:separator/>
      </w:r>
    </w:p>
  </w:footnote>
  <w:footnote w:type="continuationSeparator" w:id="0">
    <w:p w:rsidR="00EA5505" w:rsidRDefault="00EA5505" w:rsidP="000647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88" w:rsidRDefault="00601F88" w:rsidP="00064764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88" w:rsidRPr="00064764" w:rsidRDefault="00601F88" w:rsidP="00064764">
    <w:pPr>
      <w:pStyle w:val="lfej"/>
      <w:jc w:val="center"/>
    </w:pPr>
    <w:r w:rsidRPr="005D024B">
      <w:rPr>
        <w:noProof/>
        <w:lang w:eastAsia="hu-HU"/>
      </w:rPr>
      <w:drawing>
        <wp:inline distT="0" distB="0" distL="0" distR="0">
          <wp:extent cx="4324350" cy="1432135"/>
          <wp:effectExtent l="0" t="0" r="0" b="0"/>
          <wp:docPr id="1" name="Kép 1" descr="fejléc színes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színes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76" cy="1434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6B"/>
    <w:rsid w:val="000032FB"/>
    <w:rsid w:val="0002608A"/>
    <w:rsid w:val="000357CD"/>
    <w:rsid w:val="00053E87"/>
    <w:rsid w:val="00064764"/>
    <w:rsid w:val="00075F11"/>
    <w:rsid w:val="00094D34"/>
    <w:rsid w:val="000D156D"/>
    <w:rsid w:val="001141B4"/>
    <w:rsid w:val="00122150"/>
    <w:rsid w:val="001517D4"/>
    <w:rsid w:val="001768EE"/>
    <w:rsid w:val="001C684F"/>
    <w:rsid w:val="001F652D"/>
    <w:rsid w:val="002600CC"/>
    <w:rsid w:val="00270046"/>
    <w:rsid w:val="0027185D"/>
    <w:rsid w:val="0029390B"/>
    <w:rsid w:val="002D6920"/>
    <w:rsid w:val="003139F9"/>
    <w:rsid w:val="00367304"/>
    <w:rsid w:val="003C33A0"/>
    <w:rsid w:val="003E64AE"/>
    <w:rsid w:val="003E75D5"/>
    <w:rsid w:val="0041539C"/>
    <w:rsid w:val="004334ED"/>
    <w:rsid w:val="00435A2D"/>
    <w:rsid w:val="00472C43"/>
    <w:rsid w:val="004A50B2"/>
    <w:rsid w:val="004B1CB8"/>
    <w:rsid w:val="004E3A60"/>
    <w:rsid w:val="004F2A53"/>
    <w:rsid w:val="004F3455"/>
    <w:rsid w:val="00524D99"/>
    <w:rsid w:val="00525FD7"/>
    <w:rsid w:val="00534392"/>
    <w:rsid w:val="005559B3"/>
    <w:rsid w:val="005C653A"/>
    <w:rsid w:val="00601F88"/>
    <w:rsid w:val="00632F32"/>
    <w:rsid w:val="00693EBE"/>
    <w:rsid w:val="006B6E69"/>
    <w:rsid w:val="006C7A8A"/>
    <w:rsid w:val="00765A4E"/>
    <w:rsid w:val="007859B5"/>
    <w:rsid w:val="0079035E"/>
    <w:rsid w:val="007B6B16"/>
    <w:rsid w:val="00824305"/>
    <w:rsid w:val="0084479E"/>
    <w:rsid w:val="00872B1E"/>
    <w:rsid w:val="008D37C7"/>
    <w:rsid w:val="008D66C9"/>
    <w:rsid w:val="00902DF3"/>
    <w:rsid w:val="00906E77"/>
    <w:rsid w:val="00950436"/>
    <w:rsid w:val="00952121"/>
    <w:rsid w:val="0097125A"/>
    <w:rsid w:val="009E3A31"/>
    <w:rsid w:val="00A10831"/>
    <w:rsid w:val="00A751A3"/>
    <w:rsid w:val="00A84E9B"/>
    <w:rsid w:val="00AF159D"/>
    <w:rsid w:val="00B66A8D"/>
    <w:rsid w:val="00B7433B"/>
    <w:rsid w:val="00BA630A"/>
    <w:rsid w:val="00BB459C"/>
    <w:rsid w:val="00BC5406"/>
    <w:rsid w:val="00BE15B1"/>
    <w:rsid w:val="00C13129"/>
    <w:rsid w:val="00C66486"/>
    <w:rsid w:val="00C9069D"/>
    <w:rsid w:val="00CA48E0"/>
    <w:rsid w:val="00CA7F01"/>
    <w:rsid w:val="00CB4459"/>
    <w:rsid w:val="00CC0FA3"/>
    <w:rsid w:val="00D1390B"/>
    <w:rsid w:val="00D16A30"/>
    <w:rsid w:val="00D20BE3"/>
    <w:rsid w:val="00D311C2"/>
    <w:rsid w:val="00D57A12"/>
    <w:rsid w:val="00D713E0"/>
    <w:rsid w:val="00D755EC"/>
    <w:rsid w:val="00DC21FF"/>
    <w:rsid w:val="00DC525A"/>
    <w:rsid w:val="00DD7E93"/>
    <w:rsid w:val="00DF5631"/>
    <w:rsid w:val="00E01EA8"/>
    <w:rsid w:val="00E122E3"/>
    <w:rsid w:val="00E2127C"/>
    <w:rsid w:val="00E554DD"/>
    <w:rsid w:val="00E7586B"/>
    <w:rsid w:val="00E92F76"/>
    <w:rsid w:val="00EA5505"/>
    <w:rsid w:val="00F36D8B"/>
    <w:rsid w:val="00FA6956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064764"/>
    <w:pPr>
      <w:spacing w:before="40" w:after="40" w:line="240" w:lineRule="auto"/>
    </w:pPr>
    <w:rPr>
      <w:rFonts w:ascii="Arial" w:eastAsia="Calibri" w:hAnsi="Arial" w:cs="Arial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764"/>
    <w:rPr>
      <w:rFonts w:ascii="Tahoma" w:eastAsia="Calibri" w:hAnsi="Tahoma" w:cs="Tahoma"/>
      <w:sz w:val="16"/>
      <w:szCs w:val="16"/>
    </w:rPr>
  </w:style>
  <w:style w:type="character" w:styleId="Hiperhivatkozs">
    <w:name w:val="Hyperlink"/>
    <w:uiPriority w:val="99"/>
    <w:rsid w:val="000647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3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064764"/>
    <w:pPr>
      <w:spacing w:before="40" w:after="40" w:line="240" w:lineRule="auto"/>
    </w:pPr>
    <w:rPr>
      <w:rFonts w:ascii="Arial" w:eastAsia="Calibri" w:hAnsi="Arial" w:cs="Arial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764"/>
    <w:rPr>
      <w:rFonts w:ascii="Tahoma" w:eastAsia="Calibri" w:hAnsi="Tahoma" w:cs="Tahoma"/>
      <w:sz w:val="16"/>
      <w:szCs w:val="16"/>
    </w:rPr>
  </w:style>
  <w:style w:type="character" w:styleId="Hiperhivatkozs">
    <w:name w:val="Hyperlink"/>
    <w:uiPriority w:val="99"/>
    <w:rsid w:val="000647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62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97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2731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7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manyhivatal.hu" TargetMode="External"/><Relationship Id="rId2" Type="http://schemas.openxmlformats.org/officeDocument/2006/relationships/hyperlink" Target="http://fovaros.munka.h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B347-4D98-42A4-BB40-DBDB09F5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y</cp:lastModifiedBy>
  <cp:revision>2</cp:revision>
  <cp:lastPrinted>2021-06-24T07:52:00Z</cp:lastPrinted>
  <dcterms:created xsi:type="dcterms:W3CDTF">2023-04-18T14:10:00Z</dcterms:created>
  <dcterms:modified xsi:type="dcterms:W3CDTF">2023-04-18T14:10:00Z</dcterms:modified>
</cp:coreProperties>
</file>